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D1A" w:rsidRDefault="0094470E" w:rsidP="0094470E">
      <w:pPr>
        <w:jc w:val="center"/>
      </w:pPr>
      <w:r>
        <w:rPr>
          <w:noProof/>
        </w:rPr>
        <w:drawing>
          <wp:inline distT="0" distB="0" distL="0" distR="0">
            <wp:extent cx="1905000" cy="1230803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674" cy="1231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470E" w:rsidRPr="0094470E" w:rsidRDefault="0094470E" w:rsidP="0094470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4470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Demographics for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1440 N</w:t>
      </w:r>
      <w:r w:rsidRPr="0094470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Ashland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,</w:t>
      </w:r>
      <w:bookmarkStart w:id="0" w:name="_GoBack"/>
      <w:bookmarkEnd w:id="0"/>
      <w:r w:rsidRPr="0094470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Chicago, IL 60622</w:t>
      </w:r>
    </w:p>
    <w:tbl>
      <w:tblPr>
        <w:tblW w:w="912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4"/>
        <w:gridCol w:w="898"/>
        <w:gridCol w:w="1164"/>
        <w:gridCol w:w="1164"/>
      </w:tblGrid>
      <w:tr w:rsidR="0094470E" w:rsidRPr="0094470E" w:rsidTr="0094470E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Population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1-mi.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3-mi.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5-mi.</w:t>
            </w:r>
          </w:p>
        </w:tc>
      </w:tr>
      <w:tr w:rsidR="0094470E" w:rsidRPr="0094470E" w:rsidTr="0094470E">
        <w:trPr>
          <w:tblCellSpacing w:w="0" w:type="dxa"/>
        </w:trPr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2011 Male Population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26,176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240,829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543,393</w:t>
            </w:r>
          </w:p>
        </w:tc>
      </w:tr>
      <w:tr w:rsidR="0094470E" w:rsidRPr="0094470E" w:rsidTr="0094470E">
        <w:trPr>
          <w:tblCellSpacing w:w="0" w:type="dxa"/>
        </w:trPr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2011 Female Population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23,060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236,797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531,157</w:t>
            </w:r>
          </w:p>
        </w:tc>
      </w:tr>
      <w:tr w:rsidR="0094470E" w:rsidRPr="0094470E" w:rsidTr="0094470E">
        <w:trPr>
          <w:tblCellSpacing w:w="0" w:type="dxa"/>
        </w:trPr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% 2011 Male Population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53.16%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50.42%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50.57%</w:t>
            </w:r>
          </w:p>
        </w:tc>
      </w:tr>
      <w:tr w:rsidR="0094470E" w:rsidRPr="0094470E" w:rsidTr="0094470E">
        <w:trPr>
          <w:tblCellSpacing w:w="0" w:type="dxa"/>
        </w:trPr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% 2011 Female Population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46.84%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49.58%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49.43%</w:t>
            </w:r>
          </w:p>
        </w:tc>
      </w:tr>
      <w:tr w:rsidR="0094470E" w:rsidRPr="0094470E" w:rsidTr="0094470E">
        <w:trPr>
          <w:tblCellSpacing w:w="0" w:type="dxa"/>
        </w:trPr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2011 Total Adult Population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42,060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411,063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884,508</w:t>
            </w:r>
          </w:p>
        </w:tc>
      </w:tr>
      <w:tr w:rsidR="0094470E" w:rsidRPr="0094470E" w:rsidTr="0094470E">
        <w:trPr>
          <w:tblCellSpacing w:w="0" w:type="dxa"/>
        </w:trPr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2011 Total Daytime Population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52,109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1,019,394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1,490,302</w:t>
            </w:r>
          </w:p>
        </w:tc>
      </w:tr>
      <w:tr w:rsidR="0094470E" w:rsidRPr="0094470E" w:rsidTr="0094470E">
        <w:trPr>
          <w:tblCellSpacing w:w="0" w:type="dxa"/>
        </w:trPr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2011 Total Daytime Work Population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35,021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826,525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1,013,761</w:t>
            </w:r>
          </w:p>
        </w:tc>
      </w:tr>
      <w:tr w:rsidR="0094470E" w:rsidRPr="0094470E" w:rsidTr="0094470E">
        <w:trPr>
          <w:tblCellSpacing w:w="0" w:type="dxa"/>
        </w:trPr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2011 Median Age Total Population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4470E" w:rsidRPr="0094470E" w:rsidTr="0094470E">
        <w:trPr>
          <w:tblCellSpacing w:w="0" w:type="dxa"/>
        </w:trPr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2011 Median Age Adult Population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4470E" w:rsidRPr="0094470E" w:rsidTr="0094470E">
        <w:trPr>
          <w:tblCellSpacing w:w="0" w:type="dxa"/>
        </w:trPr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2011 Age 0-5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1,604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15,104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42,484</w:t>
            </w:r>
          </w:p>
        </w:tc>
      </w:tr>
      <w:tr w:rsidR="0094470E" w:rsidRPr="0094470E" w:rsidTr="0094470E">
        <w:trPr>
          <w:tblCellSpacing w:w="0" w:type="dxa"/>
        </w:trPr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2011 Age 6-13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1,713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16,198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48,308</w:t>
            </w:r>
          </w:p>
        </w:tc>
      </w:tr>
      <w:tr w:rsidR="0094470E" w:rsidRPr="0094470E" w:rsidTr="0094470E">
        <w:trPr>
          <w:tblCellSpacing w:w="0" w:type="dxa"/>
        </w:trPr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2011 Age 14-17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3,859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35,261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99,250</w:t>
            </w:r>
          </w:p>
        </w:tc>
      </w:tr>
      <w:tr w:rsidR="0094470E" w:rsidRPr="0094470E" w:rsidTr="0094470E">
        <w:trPr>
          <w:tblCellSpacing w:w="0" w:type="dxa"/>
        </w:trPr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2011 Age 18-20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4,061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43,343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109,499</w:t>
            </w:r>
          </w:p>
        </w:tc>
      </w:tr>
      <w:tr w:rsidR="0094470E" w:rsidRPr="0094470E" w:rsidTr="0094470E">
        <w:trPr>
          <w:tblCellSpacing w:w="0" w:type="dxa"/>
        </w:trPr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2011 Age 21-24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10,868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99,888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207,264</w:t>
            </w:r>
          </w:p>
        </w:tc>
      </w:tr>
      <w:tr w:rsidR="0094470E" w:rsidRPr="0094470E" w:rsidTr="0094470E">
        <w:trPr>
          <w:tblCellSpacing w:w="0" w:type="dxa"/>
        </w:trPr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2011 Age 25-29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6,427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54,640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105,725</w:t>
            </w:r>
          </w:p>
        </w:tc>
      </w:tr>
      <w:tr w:rsidR="0094470E" w:rsidRPr="0094470E" w:rsidTr="0094470E">
        <w:trPr>
          <w:tblCellSpacing w:w="0" w:type="dxa"/>
        </w:trPr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2011 Age 30-34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5,007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45,073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88,912</w:t>
            </w:r>
          </w:p>
        </w:tc>
      </w:tr>
      <w:tr w:rsidR="0094470E" w:rsidRPr="0094470E" w:rsidTr="0094470E">
        <w:trPr>
          <w:tblCellSpacing w:w="0" w:type="dxa"/>
        </w:trPr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2011 Age 35-39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3,224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32,334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69,659</w:t>
            </w:r>
          </w:p>
        </w:tc>
      </w:tr>
      <w:tr w:rsidR="0094470E" w:rsidRPr="0094470E" w:rsidTr="0094470E">
        <w:trPr>
          <w:tblCellSpacing w:w="0" w:type="dxa"/>
        </w:trPr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2011 Age 40-44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2,474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24,976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56,608</w:t>
            </w:r>
          </w:p>
        </w:tc>
      </w:tr>
      <w:tr w:rsidR="0094470E" w:rsidRPr="0094470E" w:rsidTr="0094470E">
        <w:trPr>
          <w:tblCellSpacing w:w="0" w:type="dxa"/>
        </w:trPr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2011 Age 45-49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2,244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23,672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53,427</w:t>
            </w:r>
          </w:p>
        </w:tc>
      </w:tr>
      <w:tr w:rsidR="0094470E" w:rsidRPr="0094470E" w:rsidTr="0094470E">
        <w:trPr>
          <w:tblCellSpacing w:w="0" w:type="dxa"/>
        </w:trPr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2011 Age 50-54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1,935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23,289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49,948</w:t>
            </w:r>
          </w:p>
        </w:tc>
      </w:tr>
      <w:tr w:rsidR="0094470E" w:rsidRPr="0094470E" w:rsidTr="0094470E">
        <w:trPr>
          <w:tblCellSpacing w:w="0" w:type="dxa"/>
        </w:trPr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2011 Age 55-59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1,616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19,536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41,164</w:t>
            </w:r>
          </w:p>
        </w:tc>
      </w:tr>
      <w:tr w:rsidR="0094470E" w:rsidRPr="0094470E" w:rsidTr="0094470E">
        <w:trPr>
          <w:tblCellSpacing w:w="0" w:type="dxa"/>
        </w:trPr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2011 Age 60-64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1,283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14,242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31,769</w:t>
            </w:r>
          </w:p>
        </w:tc>
      </w:tr>
      <w:tr w:rsidR="0094470E" w:rsidRPr="0094470E" w:rsidTr="0094470E">
        <w:trPr>
          <w:tblCellSpacing w:w="0" w:type="dxa"/>
        </w:trPr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2011 Age 65-69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10,067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23,163</w:t>
            </w:r>
          </w:p>
        </w:tc>
      </w:tr>
      <w:tr w:rsidR="0094470E" w:rsidRPr="0094470E" w:rsidTr="0094470E">
        <w:trPr>
          <w:tblCellSpacing w:w="0" w:type="dxa"/>
        </w:trPr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2011 Age 70-74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688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7,268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16,875</w:t>
            </w:r>
          </w:p>
        </w:tc>
      </w:tr>
      <w:tr w:rsidR="0094470E" w:rsidRPr="0094470E" w:rsidTr="0094470E">
        <w:trPr>
          <w:tblCellSpacing w:w="0" w:type="dxa"/>
        </w:trPr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2011 Age 75-79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582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5,357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12,462</w:t>
            </w:r>
          </w:p>
        </w:tc>
      </w:tr>
      <w:tr w:rsidR="0094470E" w:rsidRPr="0094470E" w:rsidTr="0094470E">
        <w:trPr>
          <w:tblCellSpacing w:w="0" w:type="dxa"/>
        </w:trPr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2011 Age 80-84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3,819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9,103</w:t>
            </w:r>
          </w:p>
        </w:tc>
      </w:tr>
      <w:tr w:rsidR="0094470E" w:rsidRPr="0094470E" w:rsidTr="0094470E">
        <w:trPr>
          <w:tblCellSpacing w:w="0" w:type="dxa"/>
        </w:trPr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2011 Age 85+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3,560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8,931</w:t>
            </w:r>
          </w:p>
        </w:tc>
      </w:tr>
      <w:tr w:rsidR="0094470E" w:rsidRPr="0094470E" w:rsidTr="0094470E">
        <w:trPr>
          <w:tblCellSpacing w:w="0" w:type="dxa"/>
        </w:trPr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% 2011 Age 0-5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3.26%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3.16%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3.95%</w:t>
            </w:r>
          </w:p>
        </w:tc>
      </w:tr>
      <w:tr w:rsidR="0094470E" w:rsidRPr="0094470E" w:rsidTr="0094470E">
        <w:trPr>
          <w:tblCellSpacing w:w="0" w:type="dxa"/>
        </w:trPr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% 2011 Age 6-13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3.48%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3.39%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4.50%</w:t>
            </w:r>
          </w:p>
        </w:tc>
      </w:tr>
      <w:tr w:rsidR="0094470E" w:rsidRPr="0094470E" w:rsidTr="0094470E">
        <w:trPr>
          <w:tblCellSpacing w:w="0" w:type="dxa"/>
        </w:trPr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% 2011 Age 14-17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7.84%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7.38%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9.24%</w:t>
            </w:r>
          </w:p>
        </w:tc>
      </w:tr>
      <w:tr w:rsidR="0094470E" w:rsidRPr="0094470E" w:rsidTr="0094470E">
        <w:trPr>
          <w:tblCellSpacing w:w="0" w:type="dxa"/>
        </w:trPr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% 2011 Age 18-20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8.25%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9.07%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10.19%</w:t>
            </w:r>
          </w:p>
        </w:tc>
      </w:tr>
      <w:tr w:rsidR="0094470E" w:rsidRPr="0094470E" w:rsidTr="0094470E">
        <w:trPr>
          <w:tblCellSpacing w:w="0" w:type="dxa"/>
        </w:trPr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% 2011 Age 21-24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22.07%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20.91%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19.29%</w:t>
            </w:r>
          </w:p>
        </w:tc>
      </w:tr>
      <w:tr w:rsidR="0094470E" w:rsidRPr="0094470E" w:rsidTr="0094470E">
        <w:trPr>
          <w:tblCellSpacing w:w="0" w:type="dxa"/>
        </w:trPr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% 2011 Age 25-29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13.05%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11.44%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9.84%</w:t>
            </w:r>
          </w:p>
        </w:tc>
      </w:tr>
      <w:tr w:rsidR="0094470E" w:rsidRPr="0094470E" w:rsidTr="0094470E">
        <w:trPr>
          <w:tblCellSpacing w:w="0" w:type="dxa"/>
        </w:trPr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% 2011 Age 30-34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10.17%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9.44%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8.27%</w:t>
            </w:r>
          </w:p>
        </w:tc>
      </w:tr>
      <w:tr w:rsidR="0094470E" w:rsidRPr="0094470E" w:rsidTr="0094470E">
        <w:trPr>
          <w:tblCellSpacing w:w="0" w:type="dxa"/>
        </w:trPr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% 2011 Age 35-39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6.55%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6.77%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6.48%</w:t>
            </w:r>
          </w:p>
        </w:tc>
      </w:tr>
      <w:tr w:rsidR="0094470E" w:rsidRPr="0094470E" w:rsidTr="0094470E">
        <w:trPr>
          <w:tblCellSpacing w:w="0" w:type="dxa"/>
        </w:trPr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% 2011 Age 40-44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5.02%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5.23%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5.27%</w:t>
            </w:r>
          </w:p>
        </w:tc>
      </w:tr>
      <w:tr w:rsidR="0094470E" w:rsidRPr="0094470E" w:rsidTr="0094470E">
        <w:trPr>
          <w:tblCellSpacing w:w="0" w:type="dxa"/>
        </w:trPr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% 2011 Age 45-49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4.56%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4.96%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4.97%</w:t>
            </w:r>
          </w:p>
        </w:tc>
      </w:tr>
      <w:tr w:rsidR="0094470E" w:rsidRPr="0094470E" w:rsidTr="0094470E">
        <w:trPr>
          <w:tblCellSpacing w:w="0" w:type="dxa"/>
        </w:trPr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% 2011 Age 50-54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3.93%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4.88%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4.65%</w:t>
            </w:r>
          </w:p>
        </w:tc>
      </w:tr>
      <w:tr w:rsidR="0094470E" w:rsidRPr="0094470E" w:rsidTr="0094470E">
        <w:trPr>
          <w:tblCellSpacing w:w="0" w:type="dxa"/>
        </w:trPr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% 2011 Age 55-59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3.28%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4.09%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3.83%</w:t>
            </w:r>
          </w:p>
        </w:tc>
      </w:tr>
      <w:tr w:rsidR="0094470E" w:rsidRPr="0094470E" w:rsidTr="0094470E">
        <w:trPr>
          <w:tblCellSpacing w:w="0" w:type="dxa"/>
        </w:trPr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% 2011 Age 60-64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2.61%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2.98%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2.96%</w:t>
            </w:r>
          </w:p>
        </w:tc>
      </w:tr>
      <w:tr w:rsidR="0094470E" w:rsidRPr="0094470E" w:rsidTr="0094470E">
        <w:trPr>
          <w:tblCellSpacing w:w="0" w:type="dxa"/>
        </w:trPr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% 2011 Age 65-69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1.83%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2.11%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2.16%</w:t>
            </w:r>
          </w:p>
        </w:tc>
      </w:tr>
      <w:tr w:rsidR="0094470E" w:rsidRPr="0094470E" w:rsidTr="0094470E">
        <w:trPr>
          <w:tblCellSpacing w:w="0" w:type="dxa"/>
        </w:trPr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% 2011 Age 70-74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1.40%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1.52%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1.57%</w:t>
            </w:r>
          </w:p>
        </w:tc>
      </w:tr>
      <w:tr w:rsidR="0094470E" w:rsidRPr="0094470E" w:rsidTr="0094470E">
        <w:trPr>
          <w:tblCellSpacing w:w="0" w:type="dxa"/>
        </w:trPr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% 2011 Age 75-79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1.18%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1.12%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1.16%</w:t>
            </w:r>
          </w:p>
        </w:tc>
      </w:tr>
      <w:tr w:rsidR="0094470E" w:rsidRPr="0094470E" w:rsidTr="0094470E">
        <w:trPr>
          <w:tblCellSpacing w:w="0" w:type="dxa"/>
        </w:trPr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% 2011 Age 80-84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0.84%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0.80%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0.85%</w:t>
            </w:r>
          </w:p>
        </w:tc>
      </w:tr>
      <w:tr w:rsidR="0094470E" w:rsidRPr="0094470E" w:rsidTr="0094470E">
        <w:trPr>
          <w:tblCellSpacing w:w="0" w:type="dxa"/>
        </w:trPr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% 2011 Age 85+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0.68%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0.75%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0.83%</w:t>
            </w:r>
          </w:p>
        </w:tc>
      </w:tr>
      <w:tr w:rsidR="0094470E" w:rsidRPr="0094470E" w:rsidTr="0094470E">
        <w:trPr>
          <w:tblCellSpacing w:w="0" w:type="dxa"/>
        </w:trPr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2011 White Population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35,287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301,885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576,633</w:t>
            </w:r>
          </w:p>
        </w:tc>
      </w:tr>
      <w:tr w:rsidR="0094470E" w:rsidRPr="0094470E" w:rsidTr="0094470E">
        <w:trPr>
          <w:tblCellSpacing w:w="0" w:type="dxa"/>
        </w:trPr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2011 Black Population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4,289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82,729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230,942</w:t>
            </w:r>
          </w:p>
        </w:tc>
      </w:tr>
      <w:tr w:rsidR="0094470E" w:rsidRPr="0094470E" w:rsidTr="0094470E">
        <w:trPr>
          <w:tblCellSpacing w:w="0" w:type="dxa"/>
        </w:trPr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2011 Asian/Hawaiian/Pacific Islander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2,121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32,233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75,028</w:t>
            </w:r>
          </w:p>
        </w:tc>
      </w:tr>
      <w:tr w:rsidR="0094470E" w:rsidRPr="0094470E" w:rsidTr="0094470E">
        <w:trPr>
          <w:tblCellSpacing w:w="0" w:type="dxa"/>
        </w:trPr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2011 American Indian/Alaska Native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1,932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5,566</w:t>
            </w:r>
          </w:p>
        </w:tc>
      </w:tr>
      <w:tr w:rsidR="0094470E" w:rsidRPr="0094470E" w:rsidTr="0094470E">
        <w:trPr>
          <w:tblCellSpacing w:w="0" w:type="dxa"/>
        </w:trPr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2011 Other Population (</w:t>
            </w:r>
            <w:proofErr w:type="spellStart"/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Incl</w:t>
            </w:r>
            <w:proofErr w:type="spellEnd"/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2+ Races)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7,308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58,846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186,381</w:t>
            </w:r>
          </w:p>
        </w:tc>
      </w:tr>
      <w:tr w:rsidR="0094470E" w:rsidRPr="0094470E" w:rsidTr="0094470E">
        <w:trPr>
          <w:tblCellSpacing w:w="0" w:type="dxa"/>
        </w:trPr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2011 Hispanic Population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11,414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101,154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333,000</w:t>
            </w:r>
          </w:p>
        </w:tc>
      </w:tr>
      <w:tr w:rsidR="0094470E" w:rsidRPr="0094470E" w:rsidTr="0094470E">
        <w:trPr>
          <w:tblCellSpacing w:w="0" w:type="dxa"/>
        </w:trPr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2011 Non-Hispanic Population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37,822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376,471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741,549</w:t>
            </w:r>
          </w:p>
        </w:tc>
      </w:tr>
      <w:tr w:rsidR="0094470E" w:rsidRPr="0094470E" w:rsidTr="0094470E">
        <w:trPr>
          <w:tblCellSpacing w:w="0" w:type="dxa"/>
        </w:trPr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% 2011 White Population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71.67%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63.21%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53.66%</w:t>
            </w:r>
          </w:p>
        </w:tc>
      </w:tr>
      <w:tr w:rsidR="0094470E" w:rsidRPr="0094470E" w:rsidTr="0094470E">
        <w:trPr>
          <w:tblCellSpacing w:w="0" w:type="dxa"/>
        </w:trPr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% 2011 Black Population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8.71%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17.32%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21.49%</w:t>
            </w:r>
          </w:p>
        </w:tc>
      </w:tr>
      <w:tr w:rsidR="0094470E" w:rsidRPr="0094470E" w:rsidTr="0094470E">
        <w:trPr>
          <w:tblCellSpacing w:w="0" w:type="dxa"/>
        </w:trPr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% 2011 Asian/Hawaiian/Pacific Islander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4.31%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6.75%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6.98%</w:t>
            </w:r>
          </w:p>
        </w:tc>
      </w:tr>
      <w:tr w:rsidR="0094470E" w:rsidRPr="0094470E" w:rsidTr="0094470E">
        <w:trPr>
          <w:tblCellSpacing w:w="0" w:type="dxa"/>
        </w:trPr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% 2011 American Indian/Alaska Native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0.47%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0.40%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0.52%</w:t>
            </w:r>
          </w:p>
        </w:tc>
      </w:tr>
      <w:tr w:rsidR="0094470E" w:rsidRPr="0094470E" w:rsidTr="0094470E">
        <w:trPr>
          <w:tblCellSpacing w:w="0" w:type="dxa"/>
        </w:trPr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% 2011 Other Population (</w:t>
            </w:r>
            <w:proofErr w:type="spellStart"/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Incl</w:t>
            </w:r>
            <w:proofErr w:type="spellEnd"/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2+ Races)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14.84%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12.32%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17.35%</w:t>
            </w:r>
          </w:p>
        </w:tc>
      </w:tr>
      <w:tr w:rsidR="0094470E" w:rsidRPr="0094470E" w:rsidTr="0094470E">
        <w:trPr>
          <w:tblCellSpacing w:w="0" w:type="dxa"/>
        </w:trPr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% 2011 Hispanic Population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23.18%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21.18%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30.99%</w:t>
            </w:r>
          </w:p>
        </w:tc>
      </w:tr>
      <w:tr w:rsidR="0094470E" w:rsidRPr="0094470E" w:rsidTr="0094470E">
        <w:trPr>
          <w:tblCellSpacing w:w="0" w:type="dxa"/>
        </w:trPr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% 2011 Non-Hispanic Population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76.82%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78.82%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69.01%</w:t>
            </w:r>
          </w:p>
        </w:tc>
      </w:tr>
      <w:tr w:rsidR="0094470E" w:rsidRPr="0094470E" w:rsidTr="0094470E">
        <w:trPr>
          <w:tblCellSpacing w:w="0" w:type="dxa"/>
        </w:trPr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2000 Non-Hispanic White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23,176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202,714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374,308</w:t>
            </w:r>
          </w:p>
        </w:tc>
      </w:tr>
      <w:tr w:rsidR="0094470E" w:rsidRPr="0094470E" w:rsidTr="0094470E">
        <w:trPr>
          <w:tblCellSpacing w:w="0" w:type="dxa"/>
        </w:trPr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2000 Non-Hispanic Black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5,313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101,546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277,590</w:t>
            </w:r>
          </w:p>
        </w:tc>
      </w:tr>
      <w:tr w:rsidR="0094470E" w:rsidRPr="0094470E" w:rsidTr="0094470E">
        <w:trPr>
          <w:tblCellSpacing w:w="0" w:type="dxa"/>
        </w:trPr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 Non-Hispanic </w:t>
            </w:r>
            <w:proofErr w:type="spellStart"/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Amer</w:t>
            </w:r>
            <w:proofErr w:type="spellEnd"/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Indian/Alaska Native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627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1,614</w:t>
            </w:r>
          </w:p>
        </w:tc>
      </w:tr>
      <w:tr w:rsidR="0094470E" w:rsidRPr="0094470E" w:rsidTr="0094470E">
        <w:trPr>
          <w:tblCellSpacing w:w="0" w:type="dxa"/>
        </w:trPr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2000 Non-Hispanic Asian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739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16,750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49,987</w:t>
            </w:r>
          </w:p>
        </w:tc>
      </w:tr>
      <w:tr w:rsidR="0094470E" w:rsidRPr="0094470E" w:rsidTr="0094470E">
        <w:trPr>
          <w:tblCellSpacing w:w="0" w:type="dxa"/>
        </w:trPr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2000 Non-Hispanic Hawaiian/Pacific Islander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94470E" w:rsidRPr="0094470E" w:rsidTr="0094470E">
        <w:trPr>
          <w:tblCellSpacing w:w="0" w:type="dxa"/>
        </w:trPr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2000 Non-Hispanic Some Other Race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738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1,932</w:t>
            </w:r>
          </w:p>
        </w:tc>
      </w:tr>
      <w:tr w:rsidR="0094470E" w:rsidRPr="0094470E" w:rsidTr="0094470E">
        <w:trPr>
          <w:tblCellSpacing w:w="0" w:type="dxa"/>
        </w:trPr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2000 Non-Hispanic Two or More Races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1,421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7,513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17,957</w:t>
            </w:r>
          </w:p>
        </w:tc>
      </w:tr>
      <w:tr w:rsidR="0094470E" w:rsidRPr="0094470E" w:rsidTr="0094470E">
        <w:trPr>
          <w:tblCellSpacing w:w="0" w:type="dxa"/>
        </w:trPr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% 2000 Non-Hispanic White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75.22%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61.44%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51.73%</w:t>
            </w:r>
          </w:p>
        </w:tc>
      </w:tr>
      <w:tr w:rsidR="0094470E" w:rsidRPr="0094470E" w:rsidTr="0094470E">
        <w:trPr>
          <w:tblCellSpacing w:w="0" w:type="dxa"/>
        </w:trPr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% 2000 Non-Hispanic Black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17.24%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30.78%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38.37%</w:t>
            </w:r>
          </w:p>
        </w:tc>
      </w:tr>
      <w:tr w:rsidR="0094470E" w:rsidRPr="0094470E" w:rsidTr="0094470E">
        <w:trPr>
          <w:tblCellSpacing w:w="0" w:type="dxa"/>
        </w:trPr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2000 Non-Hispanic </w:t>
            </w:r>
            <w:proofErr w:type="spellStart"/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Amer</w:t>
            </w:r>
            <w:proofErr w:type="spellEnd"/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Indian/Alaska Native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0.19%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0.19%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0.22%</w:t>
            </w:r>
          </w:p>
        </w:tc>
      </w:tr>
      <w:tr w:rsidR="0094470E" w:rsidRPr="0094470E" w:rsidTr="0094470E">
        <w:trPr>
          <w:tblCellSpacing w:w="0" w:type="dxa"/>
        </w:trPr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% 2000 Non-Hispanic Asian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2.40%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5.08%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6.91%</w:t>
            </w:r>
          </w:p>
        </w:tc>
      </w:tr>
      <w:tr w:rsidR="0094470E" w:rsidRPr="0094470E" w:rsidTr="0094470E">
        <w:trPr>
          <w:tblCellSpacing w:w="0" w:type="dxa"/>
        </w:trPr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% 2000 Non-Hispanic Hawaiian/Pacific Islander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0.00%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0.01%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0.02%</w:t>
            </w:r>
          </w:p>
        </w:tc>
      </w:tr>
      <w:tr w:rsidR="0094470E" w:rsidRPr="0094470E" w:rsidTr="0094470E">
        <w:trPr>
          <w:tblCellSpacing w:w="0" w:type="dxa"/>
        </w:trPr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% 2000 Non-Hispanic Some Other Race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0.34%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0.22%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0.27%</w:t>
            </w:r>
          </w:p>
        </w:tc>
      </w:tr>
      <w:tr w:rsidR="0094470E" w:rsidRPr="0094470E" w:rsidTr="0094470E">
        <w:trPr>
          <w:tblCellSpacing w:w="0" w:type="dxa"/>
        </w:trPr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% 2000 Non-Hispanic Two or More Races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4.61%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2.28%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2.48%</w:t>
            </w:r>
          </w:p>
        </w:tc>
      </w:tr>
    </w:tbl>
    <w:p w:rsidR="0094470E" w:rsidRPr="0094470E" w:rsidRDefault="0094470E" w:rsidP="0094470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12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8"/>
        <w:gridCol w:w="1170"/>
        <w:gridCol w:w="1234"/>
        <w:gridCol w:w="1518"/>
      </w:tblGrid>
      <w:tr w:rsidR="0094470E" w:rsidRPr="0094470E" w:rsidTr="0094470E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Population Change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1-mi.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3-mi.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5-mi.</w:t>
            </w:r>
          </w:p>
        </w:tc>
      </w:tr>
      <w:tr w:rsidR="0094470E" w:rsidRPr="0094470E" w:rsidTr="0094470E">
        <w:trPr>
          <w:tblCellSpacing w:w="0" w:type="dxa"/>
        </w:trPr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Total Employees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94470E" w:rsidRPr="0094470E" w:rsidTr="0094470E">
        <w:trPr>
          <w:tblCellSpacing w:w="0" w:type="dxa"/>
        </w:trPr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Total </w:t>
            </w:r>
            <w:proofErr w:type="spellStart"/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Establishemnts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94470E" w:rsidRPr="0094470E" w:rsidTr="0094470E">
        <w:trPr>
          <w:tblCellSpacing w:w="0" w:type="dxa"/>
        </w:trPr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2011 Total Population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49,236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477,625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1,074,549</w:t>
            </w:r>
          </w:p>
        </w:tc>
      </w:tr>
      <w:tr w:rsidR="0094470E" w:rsidRPr="0094470E" w:rsidTr="0094470E">
        <w:trPr>
          <w:tblCellSpacing w:w="0" w:type="dxa"/>
        </w:trPr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2011 Total Households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23,541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229,730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454,670</w:t>
            </w:r>
          </w:p>
        </w:tc>
      </w:tr>
      <w:tr w:rsidR="0094470E" w:rsidRPr="0094470E" w:rsidTr="0094470E">
        <w:trPr>
          <w:tblCellSpacing w:w="0" w:type="dxa"/>
        </w:trPr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Population Change 1990-2011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-3,613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21,961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12,451</w:t>
            </w:r>
          </w:p>
        </w:tc>
      </w:tr>
      <w:tr w:rsidR="0094470E" w:rsidRPr="0094470E" w:rsidTr="0094470E">
        <w:trPr>
          <w:tblCellSpacing w:w="0" w:type="dxa"/>
        </w:trPr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Household Change 1990-2011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5,339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44,941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52,620</w:t>
            </w:r>
          </w:p>
        </w:tc>
      </w:tr>
      <w:tr w:rsidR="0094470E" w:rsidRPr="0094470E" w:rsidTr="0094470E">
        <w:trPr>
          <w:tblCellSpacing w:w="0" w:type="dxa"/>
        </w:trPr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% Population Change 1990-2011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-6.84%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4.82%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1.17%</w:t>
            </w:r>
          </w:p>
        </w:tc>
      </w:tr>
      <w:tr w:rsidR="0094470E" w:rsidRPr="0094470E" w:rsidTr="0094470E">
        <w:trPr>
          <w:tblCellSpacing w:w="0" w:type="dxa"/>
        </w:trPr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% Household Change 1990-2011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29.33%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24.32%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13.09%</w:t>
            </w:r>
          </w:p>
        </w:tc>
      </w:tr>
      <w:tr w:rsidR="0094470E" w:rsidRPr="0094470E" w:rsidTr="0094470E">
        <w:trPr>
          <w:tblCellSpacing w:w="0" w:type="dxa"/>
        </w:trPr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Population Change 2000-2011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-1,779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11,498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-39,126</w:t>
            </w:r>
          </w:p>
        </w:tc>
      </w:tr>
      <w:tr w:rsidR="0094470E" w:rsidRPr="0094470E" w:rsidTr="0094470E">
        <w:trPr>
          <w:tblCellSpacing w:w="0" w:type="dxa"/>
        </w:trPr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Household Change 2000-2011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1,904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22,976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19,006</w:t>
            </w:r>
          </w:p>
        </w:tc>
      </w:tr>
      <w:tr w:rsidR="0094470E" w:rsidRPr="0094470E" w:rsidTr="0094470E">
        <w:trPr>
          <w:tblCellSpacing w:w="0" w:type="dxa"/>
        </w:trPr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% Population Change 2000-2011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-3.49%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2.47%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-3.51%</w:t>
            </w:r>
          </w:p>
        </w:tc>
      </w:tr>
      <w:tr w:rsidR="0094470E" w:rsidRPr="0094470E" w:rsidTr="0094470E">
        <w:trPr>
          <w:tblCellSpacing w:w="0" w:type="dxa"/>
        </w:trPr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% Households Change 2000-2011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8.80%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11.11%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4.36%</w:t>
            </w:r>
          </w:p>
        </w:tc>
      </w:tr>
    </w:tbl>
    <w:p w:rsidR="0094470E" w:rsidRPr="0094470E" w:rsidRDefault="0094470E" w:rsidP="0094470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12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9"/>
        <w:gridCol w:w="1091"/>
        <w:gridCol w:w="1150"/>
        <w:gridCol w:w="1150"/>
      </w:tblGrid>
      <w:tr w:rsidR="0094470E" w:rsidRPr="0094470E" w:rsidTr="0094470E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Housing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1-mi.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3-mi.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5-mi.</w:t>
            </w:r>
          </w:p>
        </w:tc>
      </w:tr>
      <w:tr w:rsidR="0094470E" w:rsidRPr="0094470E" w:rsidTr="0094470E">
        <w:trPr>
          <w:tblCellSpacing w:w="0" w:type="dxa"/>
        </w:trPr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2000 Total Housing Units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24,330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229,339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476,914</w:t>
            </w:r>
          </w:p>
        </w:tc>
      </w:tr>
      <w:tr w:rsidR="0094470E" w:rsidRPr="0094470E" w:rsidTr="0094470E">
        <w:trPr>
          <w:tblCellSpacing w:w="0" w:type="dxa"/>
        </w:trPr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2000 Occupied Housing Units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21,677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206,629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435,729</w:t>
            </w:r>
          </w:p>
        </w:tc>
      </w:tr>
      <w:tr w:rsidR="0094470E" w:rsidRPr="0094470E" w:rsidTr="0094470E">
        <w:trPr>
          <w:tblCellSpacing w:w="0" w:type="dxa"/>
        </w:trPr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2000 Owner Occupied Housing Units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6,119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72,022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150,762</w:t>
            </w:r>
          </w:p>
        </w:tc>
      </w:tr>
      <w:tr w:rsidR="0094470E" w:rsidRPr="0094470E" w:rsidTr="0094470E">
        <w:trPr>
          <w:tblCellSpacing w:w="0" w:type="dxa"/>
        </w:trPr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2000 Renter Occupied Housing Units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15,558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134,607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284,967</w:t>
            </w:r>
          </w:p>
        </w:tc>
      </w:tr>
      <w:tr w:rsidR="0094470E" w:rsidRPr="0094470E" w:rsidTr="0094470E">
        <w:trPr>
          <w:tblCellSpacing w:w="0" w:type="dxa"/>
        </w:trPr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2000 Vacant Housing Units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2,653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22,710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41,185</w:t>
            </w:r>
          </w:p>
        </w:tc>
      </w:tr>
      <w:tr w:rsidR="0094470E" w:rsidRPr="0094470E" w:rsidTr="0094470E">
        <w:trPr>
          <w:tblCellSpacing w:w="0" w:type="dxa"/>
        </w:trPr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% 2000 Occupied Housing Units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89.10%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90.10%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91.36%</w:t>
            </w:r>
          </w:p>
        </w:tc>
      </w:tr>
      <w:tr w:rsidR="0094470E" w:rsidRPr="0094470E" w:rsidTr="0094470E">
        <w:trPr>
          <w:tblCellSpacing w:w="0" w:type="dxa"/>
        </w:trPr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% 2000 Owner Occupied Housing Units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25.15%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31.40%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31.61%</w:t>
            </w:r>
          </w:p>
        </w:tc>
      </w:tr>
      <w:tr w:rsidR="0094470E" w:rsidRPr="0094470E" w:rsidTr="0094470E">
        <w:trPr>
          <w:tblCellSpacing w:w="0" w:type="dxa"/>
        </w:trPr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% 2000 Renter Occupied Housing Units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63.95%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58.69%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59.75%</w:t>
            </w:r>
          </w:p>
        </w:tc>
      </w:tr>
      <w:tr w:rsidR="0094470E" w:rsidRPr="0094470E" w:rsidTr="0094470E">
        <w:trPr>
          <w:tblCellSpacing w:w="0" w:type="dxa"/>
        </w:trPr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% 2000 Vacant Housing Units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10.90%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9.90%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8.64%</w:t>
            </w:r>
          </w:p>
        </w:tc>
      </w:tr>
    </w:tbl>
    <w:p w:rsidR="0094470E" w:rsidRPr="0094470E" w:rsidRDefault="0094470E" w:rsidP="0094470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12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5"/>
        <w:gridCol w:w="1013"/>
        <w:gridCol w:w="1169"/>
        <w:gridCol w:w="1013"/>
      </w:tblGrid>
      <w:tr w:rsidR="0094470E" w:rsidRPr="0094470E" w:rsidTr="0094470E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Income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1-mi.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3-mi.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5-mi.</w:t>
            </w:r>
          </w:p>
        </w:tc>
      </w:tr>
      <w:tr w:rsidR="0094470E" w:rsidRPr="0094470E" w:rsidTr="0094470E">
        <w:trPr>
          <w:tblCellSpacing w:w="0" w:type="dxa"/>
        </w:trPr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2011 Median Household Income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$62,740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$64,123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$51,637</w:t>
            </w:r>
          </w:p>
        </w:tc>
      </w:tr>
      <w:tr w:rsidR="0094470E" w:rsidRPr="0094470E" w:rsidTr="0094470E">
        <w:trPr>
          <w:tblCellSpacing w:w="0" w:type="dxa"/>
        </w:trPr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2011 Per Capita Income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$47,734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$54,349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$38,671</w:t>
            </w:r>
          </w:p>
        </w:tc>
      </w:tr>
      <w:tr w:rsidR="0094470E" w:rsidRPr="0094470E" w:rsidTr="0094470E">
        <w:trPr>
          <w:tblCellSpacing w:w="0" w:type="dxa"/>
        </w:trPr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2011 Average Household Income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$99,835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$112,995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$91,394</w:t>
            </w:r>
          </w:p>
        </w:tc>
      </w:tr>
      <w:tr w:rsidR="0094470E" w:rsidRPr="0094470E" w:rsidTr="0094470E">
        <w:trPr>
          <w:tblCellSpacing w:w="0" w:type="dxa"/>
        </w:trPr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2011 Household Income &lt; $10,000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1,656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25,380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51,030</w:t>
            </w:r>
          </w:p>
        </w:tc>
      </w:tr>
      <w:tr w:rsidR="0094470E" w:rsidRPr="0094470E" w:rsidTr="0094470E">
        <w:trPr>
          <w:tblCellSpacing w:w="0" w:type="dxa"/>
        </w:trPr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2011 Household Income $10,000-$14,999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975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11,264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25,797</w:t>
            </w:r>
          </w:p>
        </w:tc>
      </w:tr>
      <w:tr w:rsidR="0094470E" w:rsidRPr="0094470E" w:rsidTr="0094470E">
        <w:trPr>
          <w:tblCellSpacing w:w="0" w:type="dxa"/>
        </w:trPr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2011 Household Income $15,000-$19,999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9,400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23,392</w:t>
            </w:r>
          </w:p>
        </w:tc>
      </w:tr>
      <w:tr w:rsidR="0094470E" w:rsidRPr="0094470E" w:rsidTr="0094470E">
        <w:trPr>
          <w:tblCellSpacing w:w="0" w:type="dxa"/>
        </w:trPr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2011 Household Income $20,000-$24,999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7,770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20,959</w:t>
            </w:r>
          </w:p>
        </w:tc>
      </w:tr>
      <w:tr w:rsidR="0094470E" w:rsidRPr="0094470E" w:rsidTr="0094470E">
        <w:trPr>
          <w:tblCellSpacing w:w="0" w:type="dxa"/>
        </w:trPr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2011 Household Income $25,000-$29,999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861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8,309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22,074</w:t>
            </w:r>
          </w:p>
        </w:tc>
      </w:tr>
      <w:tr w:rsidR="0094470E" w:rsidRPr="0094470E" w:rsidTr="0094470E">
        <w:trPr>
          <w:tblCellSpacing w:w="0" w:type="dxa"/>
        </w:trPr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2011 Household Income $30,000-$34,999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7,951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20,544</w:t>
            </w:r>
          </w:p>
        </w:tc>
      </w:tr>
      <w:tr w:rsidR="0094470E" w:rsidRPr="0094470E" w:rsidTr="0094470E">
        <w:trPr>
          <w:tblCellSpacing w:w="0" w:type="dxa"/>
        </w:trPr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2011 Household Income $35,000-$39,999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988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7,957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20,754</w:t>
            </w:r>
          </w:p>
        </w:tc>
      </w:tr>
      <w:tr w:rsidR="0094470E" w:rsidRPr="0094470E" w:rsidTr="0094470E">
        <w:trPr>
          <w:tblCellSpacing w:w="0" w:type="dxa"/>
        </w:trPr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2011 Household Income $40,000-$44,999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1,088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8,097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19,055</w:t>
            </w:r>
          </w:p>
        </w:tc>
      </w:tr>
      <w:tr w:rsidR="0094470E" w:rsidRPr="0094470E" w:rsidTr="0094470E">
        <w:trPr>
          <w:tblCellSpacing w:w="0" w:type="dxa"/>
        </w:trPr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2011 Household Income $45,000-$49,999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1,134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8,086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18,310</w:t>
            </w:r>
          </w:p>
        </w:tc>
      </w:tr>
      <w:tr w:rsidR="0094470E" w:rsidRPr="0094470E" w:rsidTr="0094470E">
        <w:trPr>
          <w:tblCellSpacing w:w="0" w:type="dxa"/>
        </w:trPr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2011 Household Income $50,000-$59,999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2,259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14,802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33,096</w:t>
            </w:r>
          </w:p>
        </w:tc>
      </w:tr>
      <w:tr w:rsidR="0094470E" w:rsidRPr="0094470E" w:rsidTr="0094470E">
        <w:trPr>
          <w:tblCellSpacing w:w="0" w:type="dxa"/>
        </w:trPr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2011 Household Income $60,000-$74,999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3,174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21,276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42,898</w:t>
            </w:r>
          </w:p>
        </w:tc>
      </w:tr>
      <w:tr w:rsidR="0094470E" w:rsidRPr="0094470E" w:rsidTr="0094470E">
        <w:trPr>
          <w:tblCellSpacing w:w="0" w:type="dxa"/>
        </w:trPr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2011 Household Income $75,000-$99,999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3,205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26,577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48,366</w:t>
            </w:r>
          </w:p>
        </w:tc>
      </w:tr>
      <w:tr w:rsidR="0094470E" w:rsidRPr="0094470E" w:rsidTr="0094470E">
        <w:trPr>
          <w:tblCellSpacing w:w="0" w:type="dxa"/>
        </w:trPr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2011 Household Income $100,000-$124,999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2,032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19,906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31,942</w:t>
            </w:r>
          </w:p>
        </w:tc>
      </w:tr>
      <w:tr w:rsidR="0094470E" w:rsidRPr="0094470E" w:rsidTr="0094470E">
        <w:trPr>
          <w:tblCellSpacing w:w="0" w:type="dxa"/>
        </w:trPr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2011 Household Income $125,000-$149,999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1,381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12,702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19,963</w:t>
            </w:r>
          </w:p>
        </w:tc>
      </w:tr>
      <w:tr w:rsidR="0094470E" w:rsidRPr="0094470E" w:rsidTr="0094470E">
        <w:trPr>
          <w:tblCellSpacing w:w="0" w:type="dxa"/>
        </w:trPr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2011 Household Income $150,000-$199,999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1,438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16,233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23,931</w:t>
            </w:r>
          </w:p>
        </w:tc>
      </w:tr>
      <w:tr w:rsidR="0094470E" w:rsidRPr="0094470E" w:rsidTr="0094470E">
        <w:trPr>
          <w:tblCellSpacing w:w="0" w:type="dxa"/>
        </w:trPr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2011 Household Income $200,000-$249,999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586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8,382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11,981</w:t>
            </w:r>
          </w:p>
        </w:tc>
      </w:tr>
      <w:tr w:rsidR="0094470E" w:rsidRPr="0094470E" w:rsidTr="0094470E">
        <w:trPr>
          <w:tblCellSpacing w:w="0" w:type="dxa"/>
        </w:trPr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2011 Household Income $250,000-$499,999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11,048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14,838</w:t>
            </w:r>
          </w:p>
        </w:tc>
      </w:tr>
      <w:tr w:rsidR="0094470E" w:rsidRPr="0094470E" w:rsidTr="0094470E">
        <w:trPr>
          <w:tblCellSpacing w:w="0" w:type="dxa"/>
        </w:trPr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2011 Household Income $500,000+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4,591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5,740</w:t>
            </w:r>
          </w:p>
        </w:tc>
      </w:tr>
      <w:tr w:rsidR="0094470E" w:rsidRPr="0094470E" w:rsidTr="0094470E">
        <w:trPr>
          <w:tblCellSpacing w:w="0" w:type="dxa"/>
        </w:trPr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2011 Household Income $200,000+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1,121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24,021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32,559</w:t>
            </w:r>
          </w:p>
        </w:tc>
      </w:tr>
      <w:tr w:rsidR="0094470E" w:rsidRPr="0094470E" w:rsidTr="0094470E">
        <w:trPr>
          <w:tblCellSpacing w:w="0" w:type="dxa"/>
        </w:trPr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% 2011 Household Income &lt; $10,000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7.03%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11.05%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11.22%</w:t>
            </w:r>
          </w:p>
        </w:tc>
      </w:tr>
      <w:tr w:rsidR="0094470E" w:rsidRPr="0094470E" w:rsidTr="0094470E">
        <w:trPr>
          <w:tblCellSpacing w:w="0" w:type="dxa"/>
        </w:trPr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% 2011 Household Income $10,000-$14,999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4.14%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4.90%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5.67%</w:t>
            </w:r>
          </w:p>
        </w:tc>
      </w:tr>
      <w:tr w:rsidR="0094470E" w:rsidRPr="0094470E" w:rsidTr="0094470E">
        <w:trPr>
          <w:tblCellSpacing w:w="0" w:type="dxa"/>
        </w:trPr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% 2011 Household Income $15,000-$19,999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2.68%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4.09%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5.14%</w:t>
            </w:r>
          </w:p>
        </w:tc>
      </w:tr>
      <w:tr w:rsidR="0094470E" w:rsidRPr="0094470E" w:rsidTr="0094470E">
        <w:trPr>
          <w:tblCellSpacing w:w="0" w:type="dxa"/>
        </w:trPr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% 2011 Household Income $20,000-$24,999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3.10%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3.38%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4.61%</w:t>
            </w:r>
          </w:p>
        </w:tc>
      </w:tr>
      <w:tr w:rsidR="0094470E" w:rsidRPr="0094470E" w:rsidTr="0094470E">
        <w:trPr>
          <w:tblCellSpacing w:w="0" w:type="dxa"/>
        </w:trPr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% 2011 Household Income $25,000-$29,999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3.66%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3.62%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4.85%</w:t>
            </w:r>
          </w:p>
        </w:tc>
      </w:tr>
      <w:tr w:rsidR="0094470E" w:rsidRPr="0094470E" w:rsidTr="0094470E">
        <w:trPr>
          <w:tblCellSpacing w:w="0" w:type="dxa"/>
        </w:trPr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% 2011 Household Income $30,000-$34,999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3.70%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3.46%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4.52%</w:t>
            </w:r>
          </w:p>
        </w:tc>
      </w:tr>
      <w:tr w:rsidR="0094470E" w:rsidRPr="0094470E" w:rsidTr="0094470E">
        <w:trPr>
          <w:tblCellSpacing w:w="0" w:type="dxa"/>
        </w:trPr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% 2011 Household Income $35,000-$39,999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4.20%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3.46%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4.56%</w:t>
            </w:r>
          </w:p>
        </w:tc>
      </w:tr>
      <w:tr w:rsidR="0094470E" w:rsidRPr="0094470E" w:rsidTr="0094470E">
        <w:trPr>
          <w:tblCellSpacing w:w="0" w:type="dxa"/>
        </w:trPr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% 2011 Household Income $40,000-$44,999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4.62%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3.52%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4.19%</w:t>
            </w:r>
          </w:p>
        </w:tc>
      </w:tr>
      <w:tr w:rsidR="0094470E" w:rsidRPr="0094470E" w:rsidTr="0094470E">
        <w:trPr>
          <w:tblCellSpacing w:w="0" w:type="dxa"/>
        </w:trPr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% 2011 Household Income $45,000-$49,999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4.82%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3.52%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4.03%</w:t>
            </w:r>
          </w:p>
        </w:tc>
      </w:tr>
      <w:tr w:rsidR="0094470E" w:rsidRPr="0094470E" w:rsidTr="0094470E">
        <w:trPr>
          <w:tblCellSpacing w:w="0" w:type="dxa"/>
        </w:trPr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% 2011 Household Income $50,000-$59,999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9.60%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6.44%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7.28%</w:t>
            </w:r>
          </w:p>
        </w:tc>
      </w:tr>
      <w:tr w:rsidR="0094470E" w:rsidRPr="0094470E" w:rsidTr="0094470E">
        <w:trPr>
          <w:tblCellSpacing w:w="0" w:type="dxa"/>
        </w:trPr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% 2011 Household Income $60,000-$74,999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13.48%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9.26%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9.43%</w:t>
            </w:r>
          </w:p>
        </w:tc>
      </w:tr>
      <w:tr w:rsidR="0094470E" w:rsidRPr="0094470E" w:rsidTr="0094470E">
        <w:trPr>
          <w:tblCellSpacing w:w="0" w:type="dxa"/>
        </w:trPr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% 2011 Household Income $75,000-$99,999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13.61%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11.57%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10.64%</w:t>
            </w:r>
          </w:p>
        </w:tc>
      </w:tr>
      <w:tr w:rsidR="0094470E" w:rsidRPr="0094470E" w:rsidTr="0094470E">
        <w:trPr>
          <w:tblCellSpacing w:w="0" w:type="dxa"/>
        </w:trPr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% 2011 Household Income $100,000-$124,999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8.63%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8.66%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7.03%</w:t>
            </w:r>
          </w:p>
        </w:tc>
      </w:tr>
      <w:tr w:rsidR="0094470E" w:rsidRPr="0094470E" w:rsidTr="0094470E">
        <w:trPr>
          <w:tblCellSpacing w:w="0" w:type="dxa"/>
        </w:trPr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% 2011 Household Income $125,000-$149,999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5.87%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5.53%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4.39%</w:t>
            </w:r>
          </w:p>
        </w:tc>
      </w:tr>
      <w:tr w:rsidR="0094470E" w:rsidRPr="0094470E" w:rsidTr="0094470E">
        <w:trPr>
          <w:tblCellSpacing w:w="0" w:type="dxa"/>
        </w:trPr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% 2011 Household Income $150,000-$199,999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6.11%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7.07%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5.26%</w:t>
            </w:r>
          </w:p>
        </w:tc>
      </w:tr>
      <w:tr w:rsidR="0094470E" w:rsidRPr="0094470E" w:rsidTr="0094470E">
        <w:trPr>
          <w:tblCellSpacing w:w="0" w:type="dxa"/>
        </w:trPr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% 2011 Household Income $200,000-$249,999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2.49%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3.65%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2.64%</w:t>
            </w:r>
          </w:p>
        </w:tc>
      </w:tr>
      <w:tr w:rsidR="0094470E" w:rsidRPr="0094470E" w:rsidTr="0094470E">
        <w:trPr>
          <w:tblCellSpacing w:w="0" w:type="dxa"/>
        </w:trPr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% 2011 Household Income $250,000-$499,999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1.76%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4.81%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3.26%</w:t>
            </w:r>
          </w:p>
        </w:tc>
      </w:tr>
      <w:tr w:rsidR="0094470E" w:rsidRPr="0094470E" w:rsidTr="0094470E">
        <w:trPr>
          <w:tblCellSpacing w:w="0" w:type="dxa"/>
        </w:trPr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% 2011 Household Income $500,000+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0.51%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2.00%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1.26%</w:t>
            </w:r>
          </w:p>
        </w:tc>
      </w:tr>
      <w:tr w:rsidR="0094470E" w:rsidRPr="0094470E" w:rsidTr="0094470E">
        <w:trPr>
          <w:tblCellSpacing w:w="0" w:type="dxa"/>
        </w:trPr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% 2011 Household Income $200,000+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4.76%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10.46%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7.16%</w:t>
            </w:r>
          </w:p>
        </w:tc>
      </w:tr>
    </w:tbl>
    <w:p w:rsidR="0094470E" w:rsidRPr="0094470E" w:rsidRDefault="0094470E" w:rsidP="0094470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12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3"/>
        <w:gridCol w:w="1365"/>
        <w:gridCol w:w="1551"/>
        <w:gridCol w:w="1551"/>
      </w:tblGrid>
      <w:tr w:rsidR="0094470E" w:rsidRPr="0094470E" w:rsidTr="0094470E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Retail Sales Volume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1-mi.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3-mi.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5-mi.</w:t>
            </w:r>
          </w:p>
        </w:tc>
      </w:tr>
      <w:tr w:rsidR="0094470E" w:rsidRPr="0094470E" w:rsidTr="0094470E">
        <w:trPr>
          <w:tblCellSpacing w:w="0" w:type="dxa"/>
        </w:trPr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2011 Children/Infants Clothing Stores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$12,269,136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$133,403,372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$217,508,517</w:t>
            </w:r>
          </w:p>
        </w:tc>
      </w:tr>
      <w:tr w:rsidR="0094470E" w:rsidRPr="0094470E" w:rsidTr="0094470E">
        <w:trPr>
          <w:tblCellSpacing w:w="0" w:type="dxa"/>
        </w:trPr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2011 Jewelry Stores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$9,008,404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$94,473,240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$157,286,909</w:t>
            </w:r>
          </w:p>
        </w:tc>
      </w:tr>
      <w:tr w:rsidR="0094470E" w:rsidRPr="0094470E" w:rsidTr="0094470E">
        <w:trPr>
          <w:tblCellSpacing w:w="0" w:type="dxa"/>
        </w:trPr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2011 </w:t>
            </w:r>
            <w:proofErr w:type="spellStart"/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Mens</w:t>
            </w:r>
            <w:proofErr w:type="spellEnd"/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Clothing Stores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$17,699,659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$191,869,462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$317,252,850</w:t>
            </w:r>
          </w:p>
        </w:tc>
      </w:tr>
      <w:tr w:rsidR="0094470E" w:rsidRPr="0094470E" w:rsidTr="0094470E">
        <w:trPr>
          <w:tblCellSpacing w:w="0" w:type="dxa"/>
        </w:trPr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2011 Shoe Stores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$16,673,462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$184,146,255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$300,852,209</w:t>
            </w:r>
          </w:p>
        </w:tc>
      </w:tr>
      <w:tr w:rsidR="0094470E" w:rsidRPr="0094470E" w:rsidTr="0094470E">
        <w:trPr>
          <w:tblCellSpacing w:w="0" w:type="dxa"/>
        </w:trPr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2011 </w:t>
            </w:r>
            <w:proofErr w:type="spellStart"/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Womens</w:t>
            </w:r>
            <w:proofErr w:type="spellEnd"/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Clothing Stores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$30,501,740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$326,150,010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$550,534,480</w:t>
            </w:r>
          </w:p>
        </w:tc>
      </w:tr>
      <w:tr w:rsidR="0094470E" w:rsidRPr="0094470E" w:rsidTr="0094470E">
        <w:trPr>
          <w:tblCellSpacing w:w="0" w:type="dxa"/>
        </w:trPr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2011 Automobile Dealers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$213,829,815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$2,168,384,520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$3,757,783,978</w:t>
            </w:r>
          </w:p>
        </w:tc>
      </w:tr>
      <w:tr w:rsidR="0094470E" w:rsidRPr="0094470E" w:rsidTr="0094470E">
        <w:trPr>
          <w:tblCellSpacing w:w="0" w:type="dxa"/>
        </w:trPr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2011 Automotive Parts/</w:t>
            </w:r>
            <w:proofErr w:type="spellStart"/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Acc</w:t>
            </w:r>
            <w:proofErr w:type="spellEnd"/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/Repair Stores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$26,374,401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$277,514,725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$468,149,250</w:t>
            </w:r>
          </w:p>
        </w:tc>
      </w:tr>
      <w:tr w:rsidR="0094470E" w:rsidRPr="0094470E" w:rsidTr="0094470E">
        <w:trPr>
          <w:tblCellSpacing w:w="0" w:type="dxa"/>
        </w:trPr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2011 Other Motor Vehicle Dealers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$8,121,899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$89,200,384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$146,379,276</w:t>
            </w:r>
          </w:p>
        </w:tc>
      </w:tr>
      <w:tr w:rsidR="0094470E" w:rsidRPr="0094470E" w:rsidTr="0094470E">
        <w:trPr>
          <w:tblCellSpacing w:w="0" w:type="dxa"/>
        </w:trPr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2011 Tire Dealers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$7,093,934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$72,947,433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$124,003,149</w:t>
            </w:r>
          </w:p>
        </w:tc>
      </w:tr>
      <w:tr w:rsidR="0094470E" w:rsidRPr="0094470E" w:rsidTr="0094470E">
        <w:trPr>
          <w:tblCellSpacing w:w="0" w:type="dxa"/>
        </w:trPr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2011 Hardware Stores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$4,787,677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$68,000,305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$95,588,042</w:t>
            </w:r>
          </w:p>
        </w:tc>
      </w:tr>
      <w:tr w:rsidR="0094470E" w:rsidRPr="0094470E" w:rsidTr="0094470E">
        <w:trPr>
          <w:tblCellSpacing w:w="0" w:type="dxa"/>
        </w:trPr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2011 Home Centers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$22,218,881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$248,957,013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$416,545,140</w:t>
            </w:r>
          </w:p>
        </w:tc>
      </w:tr>
      <w:tr w:rsidR="0094470E" w:rsidRPr="0094470E" w:rsidTr="0094470E">
        <w:trPr>
          <w:tblCellSpacing w:w="0" w:type="dxa"/>
        </w:trPr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2011 Nursery/Garden Centers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$7,513,492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$76,832,913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$130,672,299</w:t>
            </w:r>
          </w:p>
        </w:tc>
      </w:tr>
      <w:tr w:rsidR="0094470E" w:rsidRPr="0094470E" w:rsidTr="0094470E">
        <w:trPr>
          <w:tblCellSpacing w:w="0" w:type="dxa"/>
        </w:trPr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2011 Outdoor Power Equipment Stores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$2,535,871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$23,101,795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$44,091,563</w:t>
            </w:r>
          </w:p>
        </w:tc>
      </w:tr>
      <w:tr w:rsidR="0094470E" w:rsidRPr="0094470E" w:rsidTr="0094470E">
        <w:trPr>
          <w:tblCellSpacing w:w="0" w:type="dxa"/>
        </w:trPr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2011 Paint/Wallpaper Stores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$813,834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$8,364,405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$14,863,162</w:t>
            </w:r>
          </w:p>
        </w:tc>
      </w:tr>
      <w:tr w:rsidR="0094470E" w:rsidRPr="0094470E" w:rsidTr="0094470E">
        <w:trPr>
          <w:tblCellSpacing w:w="0" w:type="dxa"/>
        </w:trPr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2011 Appliance/TV/Other Electronics Stores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$20,401,030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$219,701,253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$362,092,872</w:t>
            </w:r>
          </w:p>
        </w:tc>
      </w:tr>
      <w:tr w:rsidR="0094470E" w:rsidRPr="0094470E" w:rsidTr="0094470E">
        <w:trPr>
          <w:tblCellSpacing w:w="0" w:type="dxa"/>
        </w:trPr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2011 Camera/Photographic Supplies Stores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$3,370,763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$36,362,030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$60,647,187</w:t>
            </w:r>
          </w:p>
        </w:tc>
      </w:tr>
      <w:tr w:rsidR="0094470E" w:rsidRPr="0094470E" w:rsidTr="0094470E">
        <w:trPr>
          <w:tblCellSpacing w:w="0" w:type="dxa"/>
        </w:trPr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2011 Computer/Software Stores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$9,961,550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$104,921,476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$179,203,654</w:t>
            </w:r>
          </w:p>
        </w:tc>
      </w:tr>
      <w:tr w:rsidR="0094470E" w:rsidRPr="0094470E" w:rsidTr="0094470E">
        <w:trPr>
          <w:tblCellSpacing w:w="0" w:type="dxa"/>
        </w:trPr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2011 Beer/Wine/Liquor Stores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$13,252,688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$145,747,560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$236,812,900</w:t>
            </w:r>
          </w:p>
        </w:tc>
      </w:tr>
      <w:tr w:rsidR="0094470E" w:rsidRPr="0094470E" w:rsidTr="0094470E">
        <w:trPr>
          <w:tblCellSpacing w:w="0" w:type="dxa"/>
        </w:trPr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2011 Convenience/Specialty Food Stores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$41,655,649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$357,849,776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$569,343,686</w:t>
            </w:r>
          </w:p>
        </w:tc>
      </w:tr>
      <w:tr w:rsidR="0094470E" w:rsidRPr="0094470E" w:rsidTr="0094470E">
        <w:trPr>
          <w:tblCellSpacing w:w="0" w:type="dxa"/>
        </w:trPr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2011 Restaurant Expenditures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$137,896,218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$1,776,306,242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$2,638,092,424</w:t>
            </w:r>
          </w:p>
        </w:tc>
      </w:tr>
      <w:tr w:rsidR="0094470E" w:rsidRPr="0094470E" w:rsidTr="0094470E">
        <w:trPr>
          <w:tblCellSpacing w:w="0" w:type="dxa"/>
        </w:trPr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2011 Supermarkets/Other Grocery </w:t>
            </w:r>
            <w:proofErr w:type="spellStart"/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excl</w:t>
            </w:r>
            <w:proofErr w:type="spellEnd"/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Conv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$146,390,364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$1,572,569,999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$2,633,647,151</w:t>
            </w:r>
          </w:p>
        </w:tc>
      </w:tr>
      <w:tr w:rsidR="0094470E" w:rsidRPr="0094470E" w:rsidTr="0094470E">
        <w:trPr>
          <w:tblCellSpacing w:w="0" w:type="dxa"/>
        </w:trPr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2011 Furniture Stores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$20,847,395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$220,305,015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$370,644,324</w:t>
            </w:r>
          </w:p>
        </w:tc>
      </w:tr>
      <w:tr w:rsidR="0094470E" w:rsidRPr="0094470E" w:rsidTr="0094470E">
        <w:trPr>
          <w:tblCellSpacing w:w="0" w:type="dxa"/>
        </w:trPr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2011 Home Furnishings Stores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$13,766,505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$154,674,762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$248,168,529</w:t>
            </w:r>
          </w:p>
        </w:tc>
      </w:tr>
      <w:tr w:rsidR="0094470E" w:rsidRPr="0094470E" w:rsidTr="0094470E">
        <w:trPr>
          <w:tblCellSpacing w:w="0" w:type="dxa"/>
        </w:trPr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2011 Gen </w:t>
            </w:r>
            <w:proofErr w:type="spellStart"/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Merch</w:t>
            </w:r>
            <w:proofErr w:type="spellEnd"/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/Appliance/Furniture Stores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$185,338,931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$1,986,019,773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$3,317,674,654</w:t>
            </w:r>
          </w:p>
        </w:tc>
      </w:tr>
      <w:tr w:rsidR="0094470E" w:rsidRPr="0094470E" w:rsidTr="0094470E">
        <w:trPr>
          <w:tblCellSpacing w:w="0" w:type="dxa"/>
        </w:trPr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2011 Gasoline Stations w/ Convenience Stores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$133,660,430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$1,392,049,488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$2,259,376,527</w:t>
            </w:r>
          </w:p>
        </w:tc>
      </w:tr>
      <w:tr w:rsidR="0094470E" w:rsidRPr="0094470E" w:rsidTr="0094470E">
        <w:trPr>
          <w:tblCellSpacing w:w="0" w:type="dxa"/>
        </w:trPr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2011 Other Gasoline Stations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$92,004,779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$1,034,199,716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$1,690,032,842</w:t>
            </w:r>
          </w:p>
        </w:tc>
      </w:tr>
      <w:tr w:rsidR="0094470E" w:rsidRPr="0094470E" w:rsidTr="0094470E">
        <w:trPr>
          <w:tblCellSpacing w:w="0" w:type="dxa"/>
        </w:trPr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2011 Department Stores </w:t>
            </w:r>
            <w:proofErr w:type="spellStart"/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excl</w:t>
            </w:r>
            <w:proofErr w:type="spellEnd"/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Leased </w:t>
            </w:r>
            <w:proofErr w:type="spellStart"/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Depts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$205,739,961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$2,205,721,039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$3,679,767,552</w:t>
            </w:r>
          </w:p>
        </w:tc>
      </w:tr>
      <w:tr w:rsidR="0094470E" w:rsidRPr="0094470E" w:rsidTr="0094470E">
        <w:trPr>
          <w:tblCellSpacing w:w="0" w:type="dxa"/>
        </w:trPr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2011 General Merchandise Stores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$164,491,538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$1,765,714,784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$2,947,030,338</w:t>
            </w:r>
          </w:p>
        </w:tc>
      </w:tr>
      <w:tr w:rsidR="0094470E" w:rsidRPr="0094470E" w:rsidTr="0094470E">
        <w:trPr>
          <w:tblCellSpacing w:w="0" w:type="dxa"/>
        </w:trPr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2011 Other Health/Personal Care Stores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$13,657,957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$140,422,059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$242,546,584</w:t>
            </w:r>
          </w:p>
        </w:tc>
      </w:tr>
      <w:tr w:rsidR="0094470E" w:rsidRPr="0094470E" w:rsidTr="0094470E">
        <w:trPr>
          <w:tblCellSpacing w:w="0" w:type="dxa"/>
        </w:trPr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2011 Pharmacies/Drug Stores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$70,079,798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$746,953,763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$1,258,925,424</w:t>
            </w:r>
          </w:p>
        </w:tc>
      </w:tr>
      <w:tr w:rsidR="0094470E" w:rsidRPr="0094470E" w:rsidTr="0094470E">
        <w:trPr>
          <w:tblCellSpacing w:w="0" w:type="dxa"/>
        </w:trPr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2011 Pet/Pet Supplies Stores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$10,000,633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$108,041,388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$181,827,996</w:t>
            </w:r>
          </w:p>
        </w:tc>
      </w:tr>
      <w:tr w:rsidR="0094470E" w:rsidRPr="0094470E" w:rsidTr="0094470E">
        <w:trPr>
          <w:tblCellSpacing w:w="0" w:type="dxa"/>
        </w:trPr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2011 Book/Periodical/Music Stores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$2,858,733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$32,342,667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$54,780,233</w:t>
            </w:r>
          </w:p>
        </w:tc>
      </w:tr>
      <w:tr w:rsidR="0094470E" w:rsidRPr="0094470E" w:rsidTr="0094470E">
        <w:trPr>
          <w:tblCellSpacing w:w="0" w:type="dxa"/>
        </w:trPr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2011 Hobby/Toy/Game Stores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$3,586,941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$30,316,399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$66,424,818</w:t>
            </w:r>
          </w:p>
        </w:tc>
      </w:tr>
      <w:tr w:rsidR="0094470E" w:rsidRPr="0094470E" w:rsidTr="0094470E">
        <w:trPr>
          <w:tblCellSpacing w:w="0" w:type="dxa"/>
        </w:trPr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2011 Musical Instrument/Supplies Stores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$1,901,454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$19,665,208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$33,528,039</w:t>
            </w:r>
          </w:p>
        </w:tc>
      </w:tr>
      <w:tr w:rsidR="0094470E" w:rsidRPr="0094470E" w:rsidTr="0094470E">
        <w:trPr>
          <w:tblCellSpacing w:w="0" w:type="dxa"/>
        </w:trPr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2011 Sewing/Needlework/Piece Goods Stores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$605,633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$7,114,711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$11,558,201</w:t>
            </w:r>
          </w:p>
        </w:tc>
      </w:tr>
      <w:tr w:rsidR="0094470E" w:rsidRPr="0094470E" w:rsidTr="0094470E">
        <w:trPr>
          <w:tblCellSpacing w:w="0" w:type="dxa"/>
        </w:trPr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2011 Sporting Goods Stores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$12,650,956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$157,296,082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$227,903,488</w:t>
            </w:r>
          </w:p>
        </w:tc>
      </w:tr>
      <w:tr w:rsidR="0094470E" w:rsidRPr="0094470E" w:rsidTr="0094470E">
        <w:trPr>
          <w:tblCellSpacing w:w="0" w:type="dxa"/>
        </w:trPr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2011 Video Tape Stores - Retail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$1,688,379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$17,921,969</w:t>
            </w:r>
          </w:p>
        </w:tc>
        <w:tc>
          <w:tcPr>
            <w:tcW w:w="0" w:type="auto"/>
            <w:vAlign w:val="center"/>
            <w:hideMark/>
          </w:tcPr>
          <w:p w:rsidR="0094470E" w:rsidRPr="0094470E" w:rsidRDefault="0094470E" w:rsidP="009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0E">
              <w:rPr>
                <w:rFonts w:ascii="Times New Roman" w:eastAsia="Times New Roman" w:hAnsi="Times New Roman" w:cs="Times New Roman"/>
                <w:sz w:val="24"/>
                <w:szCs w:val="24"/>
              </w:rPr>
              <w:t>$30,005,289</w:t>
            </w:r>
          </w:p>
        </w:tc>
      </w:tr>
    </w:tbl>
    <w:p w:rsidR="0094470E" w:rsidRDefault="0094470E" w:rsidP="0094470E"/>
    <w:sectPr w:rsidR="009447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70E"/>
    <w:rsid w:val="000029CD"/>
    <w:rsid w:val="000126FC"/>
    <w:rsid w:val="00026897"/>
    <w:rsid w:val="00055013"/>
    <w:rsid w:val="00057D62"/>
    <w:rsid w:val="000622AE"/>
    <w:rsid w:val="00072AA6"/>
    <w:rsid w:val="00072B19"/>
    <w:rsid w:val="00084F01"/>
    <w:rsid w:val="00090A05"/>
    <w:rsid w:val="00093C3B"/>
    <w:rsid w:val="000A688B"/>
    <w:rsid w:val="000D5B33"/>
    <w:rsid w:val="00135332"/>
    <w:rsid w:val="00152F81"/>
    <w:rsid w:val="001612A0"/>
    <w:rsid w:val="00185454"/>
    <w:rsid w:val="001B7299"/>
    <w:rsid w:val="001B7B4F"/>
    <w:rsid w:val="001C106C"/>
    <w:rsid w:val="001E13CE"/>
    <w:rsid w:val="001F1B51"/>
    <w:rsid w:val="001F6020"/>
    <w:rsid w:val="00201EB5"/>
    <w:rsid w:val="00221C78"/>
    <w:rsid w:val="00243B89"/>
    <w:rsid w:val="00263ACE"/>
    <w:rsid w:val="00264AD6"/>
    <w:rsid w:val="002A5D63"/>
    <w:rsid w:val="002B3BD5"/>
    <w:rsid w:val="002C5A90"/>
    <w:rsid w:val="002C61E4"/>
    <w:rsid w:val="002D738D"/>
    <w:rsid w:val="002E43E1"/>
    <w:rsid w:val="002E7FD8"/>
    <w:rsid w:val="002F205D"/>
    <w:rsid w:val="003078B5"/>
    <w:rsid w:val="0031136D"/>
    <w:rsid w:val="00343FC5"/>
    <w:rsid w:val="00344178"/>
    <w:rsid w:val="003B04C3"/>
    <w:rsid w:val="003B5A28"/>
    <w:rsid w:val="003B72A5"/>
    <w:rsid w:val="003B7313"/>
    <w:rsid w:val="003C0176"/>
    <w:rsid w:val="003C6862"/>
    <w:rsid w:val="00420816"/>
    <w:rsid w:val="00446644"/>
    <w:rsid w:val="00450D72"/>
    <w:rsid w:val="00464869"/>
    <w:rsid w:val="004804D9"/>
    <w:rsid w:val="004A376E"/>
    <w:rsid w:val="004D1BCF"/>
    <w:rsid w:val="004D3016"/>
    <w:rsid w:val="004D5A8D"/>
    <w:rsid w:val="005232C9"/>
    <w:rsid w:val="005246F6"/>
    <w:rsid w:val="0055049A"/>
    <w:rsid w:val="00560537"/>
    <w:rsid w:val="00585374"/>
    <w:rsid w:val="005916C3"/>
    <w:rsid w:val="0059202D"/>
    <w:rsid w:val="005A348C"/>
    <w:rsid w:val="005A467A"/>
    <w:rsid w:val="005A6578"/>
    <w:rsid w:val="005B0C83"/>
    <w:rsid w:val="005E478C"/>
    <w:rsid w:val="005F1F17"/>
    <w:rsid w:val="005F6680"/>
    <w:rsid w:val="006032B1"/>
    <w:rsid w:val="006137C0"/>
    <w:rsid w:val="006401FC"/>
    <w:rsid w:val="00640CD2"/>
    <w:rsid w:val="00644027"/>
    <w:rsid w:val="00647E4B"/>
    <w:rsid w:val="00654368"/>
    <w:rsid w:val="00656FD0"/>
    <w:rsid w:val="00690490"/>
    <w:rsid w:val="006C21EA"/>
    <w:rsid w:val="006D0281"/>
    <w:rsid w:val="006E4F6C"/>
    <w:rsid w:val="00711B2E"/>
    <w:rsid w:val="0073034F"/>
    <w:rsid w:val="0073252D"/>
    <w:rsid w:val="0074578F"/>
    <w:rsid w:val="00754186"/>
    <w:rsid w:val="0078047F"/>
    <w:rsid w:val="0079418D"/>
    <w:rsid w:val="007957F4"/>
    <w:rsid w:val="007A583F"/>
    <w:rsid w:val="007D3B3F"/>
    <w:rsid w:val="007E246E"/>
    <w:rsid w:val="008135EB"/>
    <w:rsid w:val="00824BD1"/>
    <w:rsid w:val="008319DE"/>
    <w:rsid w:val="00845224"/>
    <w:rsid w:val="008459AA"/>
    <w:rsid w:val="00870CFF"/>
    <w:rsid w:val="00882146"/>
    <w:rsid w:val="00886221"/>
    <w:rsid w:val="008A6A54"/>
    <w:rsid w:val="008C4E39"/>
    <w:rsid w:val="008F5D10"/>
    <w:rsid w:val="008F6956"/>
    <w:rsid w:val="008F6BA2"/>
    <w:rsid w:val="00902A94"/>
    <w:rsid w:val="00937E27"/>
    <w:rsid w:val="00942097"/>
    <w:rsid w:val="0094470E"/>
    <w:rsid w:val="009757F7"/>
    <w:rsid w:val="00986533"/>
    <w:rsid w:val="00991C41"/>
    <w:rsid w:val="00993F52"/>
    <w:rsid w:val="009B3BFF"/>
    <w:rsid w:val="009C40BB"/>
    <w:rsid w:val="009E32BA"/>
    <w:rsid w:val="00A0121D"/>
    <w:rsid w:val="00A037C9"/>
    <w:rsid w:val="00A26C5F"/>
    <w:rsid w:val="00A3601B"/>
    <w:rsid w:val="00A405DC"/>
    <w:rsid w:val="00A62EF5"/>
    <w:rsid w:val="00A90A2E"/>
    <w:rsid w:val="00AA1FEF"/>
    <w:rsid w:val="00AA4B6F"/>
    <w:rsid w:val="00AA5345"/>
    <w:rsid w:val="00AC35F3"/>
    <w:rsid w:val="00AD0909"/>
    <w:rsid w:val="00AD54EA"/>
    <w:rsid w:val="00B05B24"/>
    <w:rsid w:val="00B176B5"/>
    <w:rsid w:val="00B31CC8"/>
    <w:rsid w:val="00B321B3"/>
    <w:rsid w:val="00B76881"/>
    <w:rsid w:val="00B90E16"/>
    <w:rsid w:val="00BB2762"/>
    <w:rsid w:val="00BB2806"/>
    <w:rsid w:val="00BC1A9E"/>
    <w:rsid w:val="00BC2030"/>
    <w:rsid w:val="00BD3BBA"/>
    <w:rsid w:val="00BE65BF"/>
    <w:rsid w:val="00BF198B"/>
    <w:rsid w:val="00BF24BF"/>
    <w:rsid w:val="00BF4AF3"/>
    <w:rsid w:val="00C107D3"/>
    <w:rsid w:val="00C11456"/>
    <w:rsid w:val="00C313C3"/>
    <w:rsid w:val="00C37AFE"/>
    <w:rsid w:val="00C60C2F"/>
    <w:rsid w:val="00C70D9C"/>
    <w:rsid w:val="00CA30CA"/>
    <w:rsid w:val="00CA3BFD"/>
    <w:rsid w:val="00CC2983"/>
    <w:rsid w:val="00CC3760"/>
    <w:rsid w:val="00CD0C2E"/>
    <w:rsid w:val="00CD1168"/>
    <w:rsid w:val="00D25671"/>
    <w:rsid w:val="00D25E61"/>
    <w:rsid w:val="00D3528D"/>
    <w:rsid w:val="00D466D6"/>
    <w:rsid w:val="00D50AC6"/>
    <w:rsid w:val="00D55BCB"/>
    <w:rsid w:val="00D80D7E"/>
    <w:rsid w:val="00D82F5C"/>
    <w:rsid w:val="00DD22D4"/>
    <w:rsid w:val="00DD4277"/>
    <w:rsid w:val="00DF08ED"/>
    <w:rsid w:val="00E3258A"/>
    <w:rsid w:val="00E4129F"/>
    <w:rsid w:val="00E4375F"/>
    <w:rsid w:val="00E50DE8"/>
    <w:rsid w:val="00E518C6"/>
    <w:rsid w:val="00E853A8"/>
    <w:rsid w:val="00E85D04"/>
    <w:rsid w:val="00EA74B9"/>
    <w:rsid w:val="00EB0097"/>
    <w:rsid w:val="00EB6984"/>
    <w:rsid w:val="00EF0D6B"/>
    <w:rsid w:val="00EF2AAA"/>
    <w:rsid w:val="00F02279"/>
    <w:rsid w:val="00F10D1A"/>
    <w:rsid w:val="00F11994"/>
    <w:rsid w:val="00F333ED"/>
    <w:rsid w:val="00F525B8"/>
    <w:rsid w:val="00F95DC9"/>
    <w:rsid w:val="00FA490A"/>
    <w:rsid w:val="00FB1D45"/>
    <w:rsid w:val="00FD0C9C"/>
    <w:rsid w:val="00FD3CDC"/>
    <w:rsid w:val="00FE6114"/>
    <w:rsid w:val="00FE7328"/>
    <w:rsid w:val="00FF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447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4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70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4470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447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4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70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4470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6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1405</Words>
  <Characters>8012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sondra nicole2</dc:creator>
  <cp:lastModifiedBy>sondra nicole2</cp:lastModifiedBy>
  <cp:revision>1</cp:revision>
  <dcterms:created xsi:type="dcterms:W3CDTF">2013-02-04T20:49:00Z</dcterms:created>
  <dcterms:modified xsi:type="dcterms:W3CDTF">2013-02-04T20:51:00Z</dcterms:modified>
</cp:coreProperties>
</file>